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2410"/>
        <w:gridCol w:w="992"/>
        <w:gridCol w:w="2410"/>
      </w:tblGrid>
      <w:tr w:rsidR="00A17039">
        <w:tc>
          <w:tcPr>
            <w:tcW w:w="1384" w:type="dxa"/>
          </w:tcPr>
          <w:p w:rsidR="00A17039" w:rsidRDefault="00A17039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OLE_LINK9"/>
          </w:p>
        </w:tc>
        <w:tc>
          <w:tcPr>
            <w:tcW w:w="5528" w:type="dxa"/>
            <w:gridSpan w:val="3"/>
          </w:tcPr>
          <w:p w:rsidR="00A17039" w:rsidRDefault="00A17039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</w:tcPr>
          <w:p w:rsidR="00A17039" w:rsidRDefault="00A17039">
            <w:pPr>
              <w:jc w:val="center"/>
              <w:rPr>
                <w:lang w:val="en-US"/>
              </w:rPr>
            </w:pPr>
          </w:p>
        </w:tc>
      </w:tr>
      <w:tr w:rsidR="00A17039">
        <w:trPr>
          <w:cantSplit/>
        </w:trPr>
        <w:tc>
          <w:tcPr>
            <w:tcW w:w="9322" w:type="dxa"/>
            <w:gridSpan w:val="5"/>
          </w:tcPr>
          <w:p w:rsidR="00A17039" w:rsidRDefault="00A17039">
            <w:pPr>
              <w:pStyle w:val="Heading2"/>
              <w:rPr>
                <w:rFonts w:ascii="Arial" w:hAnsi="Arial"/>
                <w:b w:val="0"/>
                <w:sz w:val="28"/>
              </w:rPr>
            </w:pPr>
          </w:p>
          <w:p w:rsidR="00E03701" w:rsidRDefault="00E03701" w:rsidP="00E03701">
            <w:pPr>
              <w:rPr>
                <w:lang w:val="en-US"/>
              </w:rPr>
            </w:pPr>
          </w:p>
          <w:p w:rsidR="00E03701" w:rsidRDefault="00E03701" w:rsidP="00E03701">
            <w:pPr>
              <w:rPr>
                <w:lang w:val="en-US"/>
              </w:rPr>
            </w:pPr>
          </w:p>
          <w:p w:rsidR="00E03701" w:rsidRPr="00E03701" w:rsidRDefault="00E03701" w:rsidP="00E03701">
            <w:pPr>
              <w:rPr>
                <w:lang w:val="en-US"/>
              </w:rPr>
            </w:pPr>
          </w:p>
          <w:p w:rsidR="00A17039" w:rsidRPr="00D37E4F" w:rsidRDefault="00A17039">
            <w:pPr>
              <w:pStyle w:val="Heading2"/>
              <w:rPr>
                <w:rFonts w:ascii="Trebuchet MS" w:hAnsi="Trebuchet MS"/>
                <w:sz w:val="24"/>
              </w:rPr>
            </w:pPr>
            <w:r w:rsidRPr="00D37E4F">
              <w:rPr>
                <w:rFonts w:ascii="Trebuchet MS" w:hAnsi="Trebuchet MS"/>
                <w:sz w:val="24"/>
              </w:rPr>
              <w:t>GENERAL REQUIREMENTS FOR AN APPLICATION FOR THE AUTHORISATION TO CONDUCT A COMPUTERISED BETTING SYSTEM</w:t>
            </w:r>
          </w:p>
          <w:p w:rsidR="00453D95" w:rsidRPr="00D37E4F" w:rsidRDefault="00453D95" w:rsidP="00453D95">
            <w:pPr>
              <w:rPr>
                <w:rFonts w:ascii="Trebuchet MS" w:hAnsi="Trebuchet MS"/>
                <w:lang w:val="en-US"/>
              </w:rPr>
            </w:pPr>
          </w:p>
          <w:p w:rsidR="00453D95" w:rsidRPr="00D37E4F" w:rsidRDefault="00453D95" w:rsidP="00453D95">
            <w:pPr>
              <w:pStyle w:val="Title"/>
              <w:rPr>
                <w:rFonts w:ascii="Trebuchet MS" w:hAnsi="Trebuchet MS"/>
                <w:sz w:val="20"/>
              </w:rPr>
            </w:pPr>
            <w:r w:rsidRPr="00D37E4F">
              <w:rPr>
                <w:rFonts w:ascii="Trebuchet MS" w:hAnsi="Trebuchet MS"/>
                <w:sz w:val="20"/>
              </w:rPr>
              <w:t>BETTING CONTROL REGULATIONS</w:t>
            </w:r>
          </w:p>
          <w:p w:rsidR="00453D95" w:rsidRPr="00D37E4F" w:rsidRDefault="00453D95" w:rsidP="00453D95">
            <w:pPr>
              <w:jc w:val="center"/>
              <w:rPr>
                <w:rFonts w:ascii="Trebuchet MS" w:hAnsi="Trebuchet MS"/>
                <w:b/>
                <w:lang w:val="en-US"/>
              </w:rPr>
            </w:pPr>
            <w:r w:rsidRPr="00D37E4F">
              <w:rPr>
                <w:rFonts w:ascii="Trebuchet MS" w:hAnsi="Trebuchet MS"/>
                <w:b/>
                <w:sz w:val="20"/>
                <w:lang w:val="en-US"/>
              </w:rPr>
              <w:t>Regulations 37</w:t>
            </w:r>
          </w:p>
          <w:p w:rsidR="00A17039" w:rsidRDefault="00A17039">
            <w:pPr>
              <w:jc w:val="center"/>
              <w:rPr>
                <w:rFonts w:ascii="Arial" w:hAnsi="Arial"/>
              </w:rPr>
            </w:pPr>
          </w:p>
        </w:tc>
      </w:tr>
      <w:tr w:rsidR="00A17039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A17039" w:rsidRDefault="00A17039">
            <w:pPr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17039" w:rsidRDefault="00A170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17039" w:rsidRDefault="00A17039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A17039" w:rsidRDefault="00A17039"/>
    <w:p w:rsidR="00A17039" w:rsidRDefault="00A17039">
      <w:pPr>
        <w:pStyle w:val="BodyText"/>
        <w:rPr>
          <w:rFonts w:ascii="Arial" w:hAnsi="Arial"/>
          <w:b/>
        </w:rPr>
      </w:pPr>
      <w:r>
        <w:rPr>
          <w:rFonts w:ascii="Arial" w:hAnsi="Arial"/>
          <w:b/>
        </w:rPr>
        <w:t>General</w:t>
      </w:r>
    </w:p>
    <w:p w:rsidR="00A17039" w:rsidRDefault="00A17039">
      <w:pPr>
        <w:pStyle w:val="BodyText"/>
        <w:rPr>
          <w:rFonts w:ascii="Arial" w:hAnsi="Arial"/>
        </w:rPr>
      </w:pPr>
    </w:p>
    <w:p w:rsidR="00A17039" w:rsidRDefault="00A1703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Regulation 37 of the </w:t>
      </w:r>
      <w:r>
        <w:rPr>
          <w:rFonts w:ascii="Arial" w:hAnsi="Arial"/>
          <w:i/>
        </w:rPr>
        <w:t>Betting Control Regulations 1978</w:t>
      </w:r>
      <w:r>
        <w:rPr>
          <w:rFonts w:ascii="Arial" w:hAnsi="Arial"/>
        </w:rPr>
        <w:t xml:space="preserve"> makes provision for the recording of all betting transactions. This is conducted by recording the details of a bet onto a betting ticket for issue to the bettor, and duplicating the betting transaction into a bookmaker’s ledger. However, with the progress of technology, these transactions can now be undertaken with the assistance of a computer. 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Regulation 37(5) enables a bookmaker to lodge an application with the </w:t>
      </w:r>
      <w:r w:rsidR="00E75A6B">
        <w:rPr>
          <w:rFonts w:ascii="Arial" w:hAnsi="Arial"/>
        </w:rPr>
        <w:t>Gaming and Wagering Commission of Western Australia</w:t>
      </w:r>
      <w:r>
        <w:rPr>
          <w:rFonts w:ascii="Arial" w:hAnsi="Arial"/>
        </w:rPr>
        <w:t xml:space="preserve"> to seek approval to use a computerised betting system to facilitate the recording of betting transactions. Prior to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 xml:space="preserve"> granting approval for the use of a computerised betting system, it must be satisfied that system you intend operating has been audited by an Inspector of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 xml:space="preserve"> and meets the required output demands.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jc w:val="both"/>
        <w:rPr>
          <w:rFonts w:ascii="Arial" w:hAnsi="Arial"/>
        </w:rPr>
      </w:pPr>
      <w:r>
        <w:rPr>
          <w:rFonts w:ascii="Arial" w:hAnsi="Arial"/>
        </w:rPr>
        <w:t>Please note that this is not an application for a bookmaker’s licence.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pStyle w:val="Heading4"/>
        <w:rPr>
          <w:rFonts w:ascii="Arial" w:hAnsi="Arial"/>
        </w:rPr>
      </w:pPr>
      <w:r>
        <w:rPr>
          <w:rFonts w:ascii="Arial" w:hAnsi="Arial"/>
        </w:rPr>
        <w:t>Application Requirements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You must be eligible to/or hold a bookmaker’s licence. If you do not currently hold a bookmaker’s licence you are required to complete a separate application form for the grant of a bookmaker’s licence from the</w:t>
      </w:r>
      <w:r w:rsidR="001A2550">
        <w:rPr>
          <w:rFonts w:ascii="Arial" w:hAnsi="Arial"/>
        </w:rPr>
        <w:t xml:space="preserve"> Gaming and Wagering Commission. </w:t>
      </w:r>
    </w:p>
    <w:p w:rsidR="001A2550" w:rsidRDefault="001A2550" w:rsidP="001A2550">
      <w:pPr>
        <w:jc w:val="both"/>
        <w:rPr>
          <w:rFonts w:ascii="Arial" w:hAnsi="Arial"/>
        </w:rPr>
      </w:pPr>
    </w:p>
    <w:p w:rsidR="00A17039" w:rsidRDefault="00D65E40">
      <w:pPr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fee </w:t>
      </w:r>
      <w:r w:rsidR="002C7004">
        <w:rPr>
          <w:rFonts w:ascii="Arial" w:hAnsi="Arial"/>
        </w:rPr>
        <w:t>(</w:t>
      </w:r>
      <w:r w:rsidR="002C7004" w:rsidRPr="002C7004">
        <w:rPr>
          <w:rFonts w:ascii="Arial" w:hAnsi="Arial" w:cs="Arial"/>
        </w:rPr>
        <w:t>please refer to the fee schedule</w:t>
      </w:r>
      <w:r w:rsidR="002C7004">
        <w:t>)</w:t>
      </w:r>
      <w:r w:rsidR="00A17039">
        <w:rPr>
          <w:rFonts w:ascii="Arial" w:hAnsi="Arial"/>
        </w:rPr>
        <w:t xml:space="preserve"> must accompany this application form. Cheques are to be made payable to the </w:t>
      </w:r>
      <w:r w:rsidR="001A2550">
        <w:rPr>
          <w:rFonts w:ascii="Arial" w:hAnsi="Arial"/>
        </w:rPr>
        <w:t>Gaming and Wagering Commission.</w:t>
      </w:r>
    </w:p>
    <w:p w:rsidR="00A17039" w:rsidRDefault="00A17039">
      <w:pPr>
        <w:pStyle w:val="Heading4"/>
        <w:rPr>
          <w:b w:val="0"/>
        </w:rPr>
      </w:pPr>
    </w:p>
    <w:p w:rsidR="00A17039" w:rsidRDefault="00A17039">
      <w:pPr>
        <w:sectPr w:rsidR="00A17039" w:rsidSect="00E03701">
          <w:footerReference w:type="even" r:id="rId7"/>
          <w:headerReference w:type="first" r:id="rId8"/>
          <w:pgSz w:w="11907" w:h="16840" w:code="9"/>
          <w:pgMar w:top="816" w:right="1418" w:bottom="1134" w:left="1418" w:header="397" w:footer="397" w:gutter="0"/>
          <w:cols w:space="720"/>
          <w:titlePg/>
          <w:docGrid w:linePitch="326"/>
        </w:sectPr>
      </w:pPr>
    </w:p>
    <w:p w:rsidR="00A17039" w:rsidRDefault="00A17039">
      <w:pPr>
        <w:rPr>
          <w:rFonts w:ascii="Arial" w:hAnsi="Arial"/>
        </w:rPr>
      </w:pPr>
    </w:p>
    <w:p w:rsidR="00A17039" w:rsidRDefault="00A17039">
      <w:pPr>
        <w:pStyle w:val="Heading4"/>
        <w:rPr>
          <w:rFonts w:ascii="Arial" w:hAnsi="Arial"/>
        </w:rPr>
      </w:pPr>
      <w:r>
        <w:rPr>
          <w:rFonts w:ascii="Arial" w:hAnsi="Arial"/>
        </w:rPr>
        <w:t>Procedures for the Conduct of a Computerised Betting System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computerised betting system shall not be used unless its configuration and output has been audited and approved by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>.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An approved computerised betting system shall not be modified or changed unless consent for the specific modification of change is obtained from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>.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Betting tickets are to bear consecutive numbers and be issued in consecutive order. 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Betting tickets produced by the computerised betting system must be in a form, size and colour approved by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>.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A record of all betting transactions maintained on the approved computerised betting system must meet the requirements set out in Regulation 37 (1) of the </w:t>
      </w:r>
      <w:r>
        <w:rPr>
          <w:rFonts w:ascii="Arial" w:hAnsi="Arial"/>
          <w:i/>
        </w:rPr>
        <w:t>Betting Control Regulations 1978</w:t>
      </w:r>
      <w:r>
        <w:rPr>
          <w:rFonts w:ascii="Arial" w:hAnsi="Arial"/>
        </w:rPr>
        <w:t>.</w:t>
      </w:r>
    </w:p>
    <w:p w:rsidR="00A17039" w:rsidRDefault="00A17039">
      <w:pPr>
        <w:jc w:val="both"/>
      </w:pPr>
    </w:p>
    <w:p w:rsidR="00A17039" w:rsidRDefault="00A1703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Where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 xml:space="preserve"> grants approval for the use of a computerised betting system such conditions as to: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the use of;</w:t>
      </w:r>
    </w:p>
    <w:p w:rsidR="00A17039" w:rsidRDefault="00A17039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the time or circumstances of the use of</w:t>
      </w:r>
    </w:p>
    <w:p w:rsidR="00A17039" w:rsidRDefault="00A17039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the colour, form or other specifications of betting tickets to be issued; and</w:t>
      </w:r>
    </w:p>
    <w:p w:rsidR="00A17039" w:rsidRDefault="00A17039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the format of the record to be produced by,</w:t>
      </w:r>
    </w:p>
    <w:p w:rsidR="00A17039" w:rsidRDefault="00A17039">
      <w:pPr>
        <w:jc w:val="both"/>
        <w:rPr>
          <w:rFonts w:ascii="Arial" w:hAnsi="Arial"/>
        </w:rPr>
      </w:pPr>
    </w:p>
    <w:p w:rsidR="00A17039" w:rsidRDefault="00A17039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the computer as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 xml:space="preserve"> specifies in that approval may be imposed. At any time by notice in writing given to the bookmaker, the </w:t>
      </w:r>
      <w:r w:rsidR="001A2550">
        <w:rPr>
          <w:rFonts w:ascii="Arial" w:hAnsi="Arial"/>
        </w:rPr>
        <w:t>Commission</w:t>
      </w:r>
      <w:r>
        <w:rPr>
          <w:rFonts w:ascii="Arial" w:hAnsi="Arial"/>
        </w:rPr>
        <w:t xml:space="preserve"> may cancel or vary the conditions imposed, or withdraw the approval.</w:t>
      </w:r>
    </w:p>
    <w:p w:rsidR="00A17039" w:rsidRDefault="00A17039">
      <w:pPr>
        <w:jc w:val="both"/>
      </w:pPr>
    </w:p>
    <w:p w:rsidR="00A17039" w:rsidRDefault="00A17039">
      <w:pPr>
        <w:jc w:val="both"/>
        <w:rPr>
          <w:sz w:val="22"/>
        </w:rPr>
      </w:pPr>
    </w:p>
    <w:p w:rsidR="00A17039" w:rsidRDefault="00A17039">
      <w:pPr>
        <w:jc w:val="both"/>
        <w:rPr>
          <w:sz w:val="22"/>
        </w:rPr>
      </w:pPr>
    </w:p>
    <w:p w:rsidR="00A17039" w:rsidRDefault="00A17039">
      <w:pPr>
        <w:jc w:val="both"/>
        <w:rPr>
          <w:sz w:val="22"/>
        </w:rPr>
      </w:pPr>
    </w:p>
    <w:p w:rsidR="00A17039" w:rsidRDefault="00A17039">
      <w:pPr>
        <w:jc w:val="both"/>
        <w:rPr>
          <w:sz w:val="22"/>
        </w:rPr>
      </w:pPr>
    </w:p>
    <w:p w:rsidR="00A17039" w:rsidRDefault="001A2550">
      <w:pPr>
        <w:pStyle w:val="Heading5"/>
        <w:rPr>
          <w:rFonts w:ascii="Arial" w:hAnsi="Arial"/>
        </w:rPr>
      </w:pPr>
      <w:r>
        <w:rPr>
          <w:rFonts w:ascii="Arial" w:hAnsi="Arial"/>
        </w:rPr>
        <w:t>GAMING AND WAGERING COMMISSION</w:t>
      </w:r>
    </w:p>
    <w:p w:rsidR="00A17039" w:rsidRDefault="00A17039"/>
    <w:p w:rsidR="00A17039" w:rsidRDefault="00A17039">
      <w:pPr>
        <w:sectPr w:rsidR="00A17039" w:rsidSect="00F05DE8">
          <w:footerReference w:type="default" r:id="rId9"/>
          <w:pgSz w:w="11907" w:h="16840" w:code="9"/>
          <w:pgMar w:top="816" w:right="1418" w:bottom="1134" w:left="1418" w:header="397" w:footer="567" w:gutter="0"/>
          <w:cols w:space="720"/>
          <w:docGrid w:linePitch="326"/>
        </w:sect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770"/>
        <w:gridCol w:w="568"/>
        <w:gridCol w:w="2126"/>
      </w:tblGrid>
      <w:tr w:rsidR="00A17039" w:rsidTr="00BB3A58">
        <w:trPr>
          <w:cantSplit/>
        </w:trPr>
        <w:tc>
          <w:tcPr>
            <w:tcW w:w="9464" w:type="dxa"/>
            <w:gridSpan w:val="3"/>
          </w:tcPr>
          <w:p w:rsidR="00BB3A58" w:rsidRDefault="00BB3A58">
            <w:pPr>
              <w:pStyle w:val="Heading2"/>
              <w:rPr>
                <w:rFonts w:ascii="Trebuchet MS" w:hAnsi="Trebuchet MS"/>
                <w:sz w:val="24"/>
              </w:rPr>
            </w:pPr>
          </w:p>
          <w:p w:rsidR="002E0488" w:rsidRDefault="002E0488" w:rsidP="002E0488"/>
          <w:p w:rsidR="00E03701" w:rsidRDefault="00E03701" w:rsidP="002E0488"/>
          <w:p w:rsidR="00E03701" w:rsidRDefault="00E03701" w:rsidP="002E0488">
            <w:pPr>
              <w:rPr>
                <w:lang w:val="en-US"/>
              </w:rPr>
            </w:pPr>
          </w:p>
          <w:p w:rsidR="002E0488" w:rsidRDefault="002E0488" w:rsidP="002E0488">
            <w:pPr>
              <w:rPr>
                <w:lang w:val="en-US"/>
              </w:rPr>
            </w:pPr>
          </w:p>
          <w:p w:rsidR="00A17039" w:rsidRPr="00D37E4F" w:rsidRDefault="00A17039">
            <w:pPr>
              <w:pStyle w:val="Heading2"/>
              <w:rPr>
                <w:rFonts w:ascii="Trebuchet MS" w:hAnsi="Trebuchet MS"/>
                <w:sz w:val="24"/>
              </w:rPr>
            </w:pPr>
            <w:r w:rsidRPr="00D37E4F">
              <w:rPr>
                <w:rFonts w:ascii="Trebuchet MS" w:hAnsi="Trebuchet MS"/>
                <w:sz w:val="24"/>
              </w:rPr>
              <w:t>APPLICATION FOR THE AUTHORISATION TO</w:t>
            </w:r>
          </w:p>
          <w:p w:rsidR="00A17039" w:rsidRPr="00D37E4F" w:rsidRDefault="00A17039">
            <w:pPr>
              <w:pStyle w:val="Heading3"/>
              <w:rPr>
                <w:rFonts w:ascii="Trebuchet MS" w:hAnsi="Trebuchet MS"/>
              </w:rPr>
            </w:pPr>
            <w:r w:rsidRPr="00D37E4F">
              <w:rPr>
                <w:rFonts w:ascii="Trebuchet MS" w:hAnsi="Trebuchet MS"/>
              </w:rPr>
              <w:t>CONDUCT A COMPUTERISED BETTING SYSTEM</w:t>
            </w:r>
          </w:p>
          <w:p w:rsidR="00027706" w:rsidRPr="00D37E4F" w:rsidRDefault="00027706" w:rsidP="00027706">
            <w:pPr>
              <w:rPr>
                <w:rFonts w:ascii="Trebuchet MS" w:hAnsi="Trebuchet MS"/>
                <w:b/>
              </w:rPr>
            </w:pPr>
          </w:p>
          <w:p w:rsidR="00027706" w:rsidRPr="00D37E4F" w:rsidRDefault="00027706" w:rsidP="00027706">
            <w:pPr>
              <w:pStyle w:val="Title"/>
              <w:rPr>
                <w:rFonts w:ascii="Trebuchet MS" w:hAnsi="Trebuchet MS"/>
                <w:sz w:val="20"/>
              </w:rPr>
            </w:pPr>
            <w:r w:rsidRPr="00D37E4F">
              <w:rPr>
                <w:rFonts w:ascii="Trebuchet MS" w:hAnsi="Trebuchet MS"/>
                <w:sz w:val="20"/>
              </w:rPr>
              <w:t>BETTING CONTROL REGULATIONS</w:t>
            </w:r>
          </w:p>
          <w:p w:rsidR="00A17039" w:rsidRDefault="00027706">
            <w:pPr>
              <w:jc w:val="center"/>
              <w:rPr>
                <w:rFonts w:ascii="Arial" w:hAnsi="Arial"/>
              </w:rPr>
            </w:pPr>
            <w:r w:rsidRPr="00D37E4F">
              <w:rPr>
                <w:rFonts w:ascii="Trebuchet MS" w:hAnsi="Trebuchet MS"/>
                <w:b/>
                <w:sz w:val="20"/>
                <w:lang w:val="en-US"/>
              </w:rPr>
              <w:t>Regulations 37</w:t>
            </w:r>
          </w:p>
        </w:tc>
      </w:tr>
      <w:tr w:rsidR="00A17039" w:rsidTr="00BB3A58">
        <w:tc>
          <w:tcPr>
            <w:tcW w:w="6770" w:type="dxa"/>
            <w:tcBorders>
              <w:bottom w:val="single" w:sz="4" w:space="0" w:color="auto"/>
            </w:tcBorders>
          </w:tcPr>
          <w:p w:rsidR="00A17039" w:rsidRDefault="00A17039">
            <w:pPr>
              <w:rPr>
                <w:rFonts w:ascii="Arial" w:hAnsi="Arial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17039" w:rsidRDefault="00A1703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7039" w:rsidRDefault="00A17039">
            <w:pPr>
              <w:jc w:val="right"/>
              <w:rPr>
                <w:rFonts w:ascii="Arial" w:hAnsi="Arial"/>
                <w:sz w:val="20"/>
              </w:rPr>
            </w:pPr>
          </w:p>
        </w:tc>
      </w:tr>
    </w:tbl>
    <w:p w:rsidR="00A17039" w:rsidRDefault="00A17039">
      <w:pPr>
        <w:rPr>
          <w:rFonts w:ascii="Arial" w:hAnsi="Arial"/>
        </w:rPr>
      </w:pPr>
    </w:p>
    <w:p w:rsidR="00A17039" w:rsidRDefault="00A17039">
      <w:pPr>
        <w:pStyle w:val="Heading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PERSONAL DETAILS</w:t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4536"/>
        </w:tabs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Bookmaker’s Licence No: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18"/>
        </w:rPr>
        <w:t>(If Applicable)</w:t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969"/>
          <w:tab w:val="left" w:pos="4536"/>
          <w:tab w:val="left" w:leader="underscore" w:pos="893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Surname: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Given Names: </w:t>
      </w:r>
      <w:r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969"/>
          <w:tab w:val="left" w:pos="4536"/>
          <w:tab w:val="left" w:leader="underscore" w:pos="8789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3969"/>
          <w:tab w:val="left" w:pos="4536"/>
          <w:tab w:val="left" w:leader="underscore" w:pos="8789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893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Residential Address: </w:t>
      </w:r>
      <w:r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8789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8931"/>
        </w:tabs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701"/>
          <w:tab w:val="left" w:leader="underscore" w:pos="3828"/>
          <w:tab w:val="left" w:pos="4111"/>
          <w:tab w:val="left" w:leader="underscore" w:pos="6379"/>
          <w:tab w:val="left" w:pos="6663"/>
          <w:tab w:val="left" w:leader="underscore" w:pos="893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Telephone N</w:t>
      </w:r>
      <w:r>
        <w:rPr>
          <w:rFonts w:ascii="Arial" w:hAnsi="Arial"/>
          <w:sz w:val="22"/>
          <w:vertAlign w:val="superscript"/>
        </w:rPr>
        <w:t>o</w:t>
      </w:r>
      <w:r>
        <w:rPr>
          <w:rFonts w:ascii="Arial" w:hAnsi="Arial"/>
          <w:sz w:val="22"/>
        </w:rPr>
        <w:t xml:space="preserve">’s: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410"/>
          <w:tab w:val="left" w:pos="4962"/>
          <w:tab w:val="left" w:pos="7513"/>
        </w:tabs>
        <w:rPr>
          <w:rFonts w:ascii="Arial" w:hAnsi="Arial"/>
          <w:sz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</w:rPr>
        <w:t>(Home)</w:t>
      </w:r>
      <w:r>
        <w:rPr>
          <w:rFonts w:ascii="Arial" w:hAnsi="Arial"/>
          <w:sz w:val="20"/>
        </w:rPr>
        <w:tab/>
        <w:t>(Work)</w:t>
      </w:r>
      <w:r>
        <w:rPr>
          <w:rFonts w:ascii="Arial" w:hAnsi="Arial"/>
          <w:sz w:val="20"/>
        </w:rPr>
        <w:tab/>
        <w:t>(</w:t>
      </w:r>
      <w:smartTag w:uri="urn:schemas-microsoft-com:office:smarttags" w:element="City">
        <w:smartTag w:uri="urn:schemas-microsoft-com:office:smarttags" w:element="PlaceName">
          <w:r>
            <w:rPr>
              <w:rFonts w:ascii="Arial" w:hAnsi="Arial"/>
              <w:sz w:val="20"/>
            </w:rPr>
            <w:t>Mobile</w:t>
          </w:r>
        </w:smartTag>
      </w:smartTag>
      <w:r>
        <w:rPr>
          <w:rFonts w:ascii="Arial" w:hAnsi="Arial"/>
          <w:sz w:val="20"/>
        </w:rPr>
        <w:t>)</w:t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410"/>
          <w:tab w:val="left" w:pos="4962"/>
          <w:tab w:val="left" w:pos="7513"/>
        </w:tabs>
        <w:rPr>
          <w:rFonts w:ascii="Arial" w:hAnsi="Arial"/>
          <w:sz w:val="20"/>
        </w:rPr>
      </w:pPr>
    </w:p>
    <w:p w:rsidR="00A17039" w:rsidRDefault="00A17039">
      <w:pPr>
        <w:tabs>
          <w:tab w:val="left" w:pos="2410"/>
          <w:tab w:val="left" w:pos="4962"/>
          <w:tab w:val="left" w:pos="7513"/>
        </w:tabs>
        <w:rPr>
          <w:rFonts w:ascii="Arial" w:hAnsi="Arial"/>
          <w:sz w:val="20"/>
        </w:rPr>
      </w:pPr>
    </w:p>
    <w:p w:rsidR="00A17039" w:rsidRDefault="00A17039" w:rsidP="00D0549E">
      <w:pPr>
        <w:pStyle w:val="Heading7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22"/>
        </w:rPr>
      </w:pPr>
      <w:r>
        <w:t>COMPUTERISED BETTING SYSTEM DETAILS</w:t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2410"/>
          <w:tab w:val="left" w:pos="4962"/>
          <w:tab w:val="left" w:pos="7513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4395"/>
          <w:tab w:val="left" w:pos="4678"/>
          <w:tab w:val="left" w:leader="underscore" w:pos="893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System Used: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Software: </w:t>
      </w:r>
      <w:r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4395"/>
          <w:tab w:val="left" w:pos="4678"/>
          <w:tab w:val="left" w:leader="underscore" w:pos="8931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4395"/>
          <w:tab w:val="left" w:pos="4678"/>
          <w:tab w:val="left" w:leader="underscore" w:pos="8931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5529"/>
          <w:tab w:val="left" w:pos="5812"/>
          <w:tab w:val="left" w:leader="underscore" w:pos="893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Contact Name for Testing: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Telephone N</w:t>
      </w:r>
      <w:r>
        <w:rPr>
          <w:rFonts w:ascii="Arial" w:hAnsi="Arial"/>
          <w:sz w:val="22"/>
          <w:vertAlign w:val="superscript"/>
        </w:rPr>
        <w:t>o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655"/>
        </w:tabs>
        <w:rPr>
          <w:rFonts w:ascii="Arial" w:hAnsi="Arial"/>
          <w:sz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</w:rPr>
        <w:t>(Day Time)</w:t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655"/>
        </w:tabs>
        <w:rPr>
          <w:rFonts w:ascii="Arial" w:hAnsi="Arial"/>
          <w:sz w:val="20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655"/>
        </w:tabs>
        <w:rPr>
          <w:rFonts w:ascii="Arial" w:hAnsi="Arial"/>
          <w:sz w:val="20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893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Location for Testing: </w:t>
      </w:r>
      <w:r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8931"/>
        </w:tabs>
        <w:rPr>
          <w:rFonts w:ascii="Arial" w:hAnsi="Arial"/>
          <w:sz w:val="22"/>
        </w:rPr>
      </w:pPr>
    </w:p>
    <w:p w:rsidR="00A17039" w:rsidRDefault="00A17039">
      <w:pPr>
        <w:tabs>
          <w:tab w:val="left" w:leader="underscore" w:pos="8931"/>
        </w:tabs>
        <w:rPr>
          <w:rFonts w:ascii="Arial" w:hAnsi="Arial"/>
          <w:sz w:val="22"/>
        </w:rPr>
      </w:pPr>
    </w:p>
    <w:p w:rsidR="00A17039" w:rsidRDefault="00A17039">
      <w:pPr>
        <w:pStyle w:val="Heading7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clear" w:pos="2410"/>
          <w:tab w:val="clear" w:pos="4962"/>
          <w:tab w:val="clear" w:pos="7513"/>
          <w:tab w:val="left" w:leader="underscore" w:pos="8931"/>
        </w:tabs>
        <w:rPr>
          <w:rFonts w:ascii="Arial" w:hAnsi="Arial"/>
        </w:rPr>
      </w:pPr>
      <w:r>
        <w:rPr>
          <w:rFonts w:ascii="Arial" w:hAnsi="Arial"/>
        </w:rPr>
        <w:t>LOCATION OF COMPUTERISED BETTING SYSTEM</w:t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8931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8931"/>
        </w:tabs>
        <w:rPr>
          <w:rFonts w:ascii="Arial" w:hAnsi="Arial"/>
          <w:sz w:val="22"/>
        </w:rPr>
      </w:pPr>
    </w:p>
    <w:p w:rsidR="00A17039" w:rsidRDefault="00546F4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737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Location</w:t>
      </w:r>
      <w:r w:rsidR="00A17039">
        <w:rPr>
          <w:rFonts w:ascii="Arial" w:hAnsi="Arial"/>
          <w:sz w:val="22"/>
        </w:rPr>
        <w:t xml:space="preserve">: </w:t>
      </w:r>
      <w:r w:rsidR="00A17039">
        <w:rPr>
          <w:rFonts w:ascii="Arial" w:hAnsi="Arial"/>
          <w:sz w:val="22"/>
        </w:rPr>
        <w:tab/>
        <w:t xml:space="preserve"> </w:t>
      </w:r>
      <w:r w:rsidR="00A17039">
        <w:rPr>
          <w:rFonts w:ascii="Arial" w:hAnsi="Arial"/>
          <w:sz w:val="22"/>
        </w:rPr>
        <w:tab/>
      </w: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leader="underscore" w:pos="4536"/>
          <w:tab w:val="left" w:pos="5103"/>
        </w:tabs>
        <w:rPr>
          <w:rFonts w:ascii="Arial" w:hAnsi="Arial"/>
          <w:sz w:val="22"/>
        </w:rPr>
      </w:pPr>
    </w:p>
    <w:p w:rsidR="00A17039" w:rsidRDefault="00A1703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536"/>
          <w:tab w:val="left" w:pos="5103"/>
        </w:tabs>
        <w:rPr>
          <w:rFonts w:ascii="Arial" w:hAnsi="Arial"/>
          <w:sz w:val="22"/>
        </w:rPr>
      </w:pPr>
    </w:p>
    <w:p w:rsidR="00A17039" w:rsidRDefault="00A17039">
      <w:pPr>
        <w:tabs>
          <w:tab w:val="left" w:pos="4536"/>
          <w:tab w:val="left" w:pos="5103"/>
        </w:tabs>
        <w:rPr>
          <w:rFonts w:ascii="Arial" w:hAnsi="Arial"/>
          <w:sz w:val="22"/>
        </w:rPr>
      </w:pPr>
    </w:p>
    <w:p w:rsidR="002E0488" w:rsidRDefault="002E0488">
      <w:pPr>
        <w:tabs>
          <w:tab w:val="left" w:leader="underscore" w:pos="4678"/>
          <w:tab w:val="left" w:pos="5670"/>
          <w:tab w:val="left" w:leader="underscore" w:pos="8505"/>
        </w:tabs>
        <w:rPr>
          <w:rFonts w:ascii="Arial" w:hAnsi="Arial"/>
          <w:sz w:val="22"/>
        </w:rPr>
      </w:pPr>
    </w:p>
    <w:p w:rsidR="002E0488" w:rsidRDefault="002E0488">
      <w:pPr>
        <w:tabs>
          <w:tab w:val="left" w:leader="underscore" w:pos="4678"/>
          <w:tab w:val="left" w:pos="5670"/>
          <w:tab w:val="left" w:leader="underscore" w:pos="8505"/>
        </w:tabs>
        <w:rPr>
          <w:rFonts w:ascii="Arial" w:hAnsi="Arial"/>
          <w:sz w:val="22"/>
        </w:rPr>
      </w:pPr>
    </w:p>
    <w:p w:rsidR="00A10BE6" w:rsidRDefault="00A10BE6">
      <w:pPr>
        <w:tabs>
          <w:tab w:val="left" w:leader="underscore" w:pos="4678"/>
          <w:tab w:val="left" w:pos="5670"/>
          <w:tab w:val="left" w:leader="underscore" w:pos="8505"/>
        </w:tabs>
        <w:rPr>
          <w:rFonts w:ascii="Arial" w:hAnsi="Arial"/>
          <w:sz w:val="22"/>
        </w:rPr>
      </w:pPr>
      <w:bookmarkStart w:id="2" w:name="_GoBack"/>
      <w:bookmarkEnd w:id="2"/>
    </w:p>
    <w:p w:rsidR="002E0488" w:rsidRDefault="002E0488">
      <w:pPr>
        <w:tabs>
          <w:tab w:val="left" w:leader="underscore" w:pos="4678"/>
          <w:tab w:val="left" w:pos="5670"/>
          <w:tab w:val="left" w:leader="underscore" w:pos="8505"/>
        </w:tabs>
        <w:rPr>
          <w:rFonts w:ascii="Arial" w:hAnsi="Arial"/>
          <w:sz w:val="22"/>
        </w:rPr>
      </w:pPr>
    </w:p>
    <w:p w:rsidR="00A17039" w:rsidRDefault="00A17039">
      <w:pPr>
        <w:tabs>
          <w:tab w:val="left" w:leader="underscore" w:pos="4678"/>
          <w:tab w:val="left" w:pos="5670"/>
          <w:tab w:val="left" w:leader="underscore" w:pos="850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SIGNATURE: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</w:rPr>
        <w:tab/>
      </w:r>
      <w:bookmarkEnd w:id="0"/>
    </w:p>
    <w:p w:rsidR="002E0488" w:rsidRDefault="002E0488">
      <w:pPr>
        <w:tabs>
          <w:tab w:val="left" w:leader="underscore" w:pos="4678"/>
          <w:tab w:val="left" w:pos="5670"/>
          <w:tab w:val="left" w:leader="underscore" w:pos="8505"/>
        </w:tabs>
        <w:rPr>
          <w:rFonts w:ascii="Arial" w:hAnsi="Arial"/>
          <w:sz w:val="22"/>
        </w:rPr>
      </w:pPr>
    </w:p>
    <w:p w:rsidR="00E03701" w:rsidRPr="00A10BE6" w:rsidRDefault="00E03701" w:rsidP="00A10BE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10320"/>
        </w:tabs>
        <w:suppressAutoHyphens/>
        <w:jc w:val="both"/>
        <w:rPr>
          <w:rFonts w:ascii="Arial" w:hAnsi="Arial"/>
          <w:b/>
          <w:sz w:val="20"/>
        </w:rPr>
      </w:pPr>
      <w:r w:rsidRPr="00A10BE6">
        <w:rPr>
          <w:rFonts w:ascii="Arial" w:hAnsi="Arial"/>
          <w:b/>
          <w:sz w:val="20"/>
        </w:rPr>
        <w:t>PAYMENT DETAILS</w:t>
      </w:r>
    </w:p>
    <w:p w:rsidR="002E0488" w:rsidRPr="00A10BE6" w:rsidRDefault="00A10BE6" w:rsidP="00A10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</w:rPr>
      </w:pPr>
      <w:r w:rsidRPr="00A10BE6">
        <w:rPr>
          <w:rFonts w:ascii="Arial" w:hAnsi="Arial" w:cs="Arial"/>
          <w:spacing w:val="-3"/>
          <w:sz w:val="20"/>
          <w:szCs w:val="22"/>
        </w:rPr>
        <w:t>An invoice with detailed payment options will be provided once the application has been received.</w:t>
      </w:r>
    </w:p>
    <w:sectPr w:rsidR="002E0488" w:rsidRPr="00A10BE6" w:rsidSect="00E03701">
      <w:pgSz w:w="11907" w:h="16840" w:code="9"/>
      <w:pgMar w:top="567" w:right="1418" w:bottom="993" w:left="1418" w:header="28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895" w:rsidRDefault="001C6895">
      <w:r>
        <w:separator/>
      </w:r>
    </w:p>
  </w:endnote>
  <w:endnote w:type="continuationSeparator" w:id="0">
    <w:p w:rsidR="001C6895" w:rsidRDefault="001C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D2E" w:rsidRDefault="00693D2E" w:rsidP="00693D2E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bookmarkStart w:id="1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693D2E" w:rsidRDefault="00693D2E" w:rsidP="00693D2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693D2E" w:rsidRDefault="00693D2E" w:rsidP="00693D2E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E03701" w:rsidRPr="00693D2E" w:rsidRDefault="00693D2E" w:rsidP="00693D2E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49E" w:rsidRDefault="00D0549E">
    <w:pPr>
      <w:pStyle w:val="Footer"/>
      <w:rPr>
        <w:i/>
        <w:color w:val="808080"/>
        <w:sz w:val="18"/>
      </w:rPr>
    </w:pPr>
    <w:r>
      <w:rPr>
        <w:i/>
        <w:color w:val="808080"/>
        <w:sz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895" w:rsidRDefault="001C6895">
      <w:r>
        <w:separator/>
      </w:r>
    </w:p>
  </w:footnote>
  <w:footnote w:type="continuationSeparator" w:id="0">
    <w:p w:rsidR="001C6895" w:rsidRDefault="001C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701" w:rsidRDefault="00E0370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-519430</wp:posOffset>
          </wp:positionH>
          <wp:positionV relativeFrom="paragraph">
            <wp:posOffset>-4445</wp:posOffset>
          </wp:positionV>
          <wp:extent cx="2819400" cy="914400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442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F71C7C"/>
    <w:multiLevelType w:val="singleLevel"/>
    <w:tmpl w:val="A24A7DBA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" w15:restartNumberingAfterBreak="0">
    <w:nsid w:val="2D6257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2555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A5A24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BE6521E"/>
    <w:multiLevelType w:val="singleLevel"/>
    <w:tmpl w:val="B88EB8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F4B02"/>
    <w:multiLevelType w:val="singleLevel"/>
    <w:tmpl w:val="B88EB8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6656A"/>
    <w:multiLevelType w:val="singleLevel"/>
    <w:tmpl w:val="B88EB8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E40"/>
    <w:rsid w:val="00027706"/>
    <w:rsid w:val="000C18AD"/>
    <w:rsid w:val="00193925"/>
    <w:rsid w:val="00193B93"/>
    <w:rsid w:val="001A2550"/>
    <w:rsid w:val="001C6895"/>
    <w:rsid w:val="0027089C"/>
    <w:rsid w:val="002C7004"/>
    <w:rsid w:val="002E0488"/>
    <w:rsid w:val="002F38AB"/>
    <w:rsid w:val="003F37BD"/>
    <w:rsid w:val="003F536E"/>
    <w:rsid w:val="00416E41"/>
    <w:rsid w:val="00422EC4"/>
    <w:rsid w:val="00453D95"/>
    <w:rsid w:val="00546F4A"/>
    <w:rsid w:val="00647973"/>
    <w:rsid w:val="00661C8B"/>
    <w:rsid w:val="00693D2E"/>
    <w:rsid w:val="006F0454"/>
    <w:rsid w:val="00755423"/>
    <w:rsid w:val="007673C8"/>
    <w:rsid w:val="00842B8B"/>
    <w:rsid w:val="009B3AC1"/>
    <w:rsid w:val="00A10BE6"/>
    <w:rsid w:val="00A17039"/>
    <w:rsid w:val="00A731E4"/>
    <w:rsid w:val="00AE5062"/>
    <w:rsid w:val="00B41AF3"/>
    <w:rsid w:val="00BB3A58"/>
    <w:rsid w:val="00BC6403"/>
    <w:rsid w:val="00C22620"/>
    <w:rsid w:val="00C55167"/>
    <w:rsid w:val="00D0549E"/>
    <w:rsid w:val="00D37E4F"/>
    <w:rsid w:val="00D65E40"/>
    <w:rsid w:val="00E03701"/>
    <w:rsid w:val="00E24755"/>
    <w:rsid w:val="00E2782D"/>
    <w:rsid w:val="00E75A6B"/>
    <w:rsid w:val="00F05DE8"/>
    <w:rsid w:val="00F5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4:docId w14:val="3086B3A0"/>
  <w15:chartTrackingRefBased/>
  <w15:docId w15:val="{047692A4-A1A8-4B57-BBB3-A31997FD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2410"/>
        <w:tab w:val="left" w:pos="4962"/>
        <w:tab w:val="left" w:pos="7513"/>
      </w:tabs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27089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05DE8"/>
    <w:rPr>
      <w:sz w:val="24"/>
    </w:rPr>
  </w:style>
  <w:style w:type="paragraph" w:styleId="NoSpacing">
    <w:name w:val="No Spacing"/>
    <w:uiPriority w:val="1"/>
    <w:qFormat/>
    <w:rsid w:val="00F05D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527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Office of Racing, Gaming and Liquor</Company>
  <LinksUpToDate>false</LinksUpToDate>
  <CharactersWithSpaces>3461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8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</dc:creator>
  <cp:keywords/>
  <cp:lastModifiedBy>Sarah Thomas</cp:lastModifiedBy>
  <cp:revision>6</cp:revision>
  <cp:lastPrinted>2016-10-21T06:00:00Z</cp:lastPrinted>
  <dcterms:created xsi:type="dcterms:W3CDTF">2017-12-14T05:03:00Z</dcterms:created>
  <dcterms:modified xsi:type="dcterms:W3CDTF">2019-09-25T08:25:00Z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-1102213563</vt:i4>
  </property>
  <property fmtid="{D5CDD505-2E9C-101B-9397-08002B2CF9AE}" pid="3" name="_EmailSubject">
    <vt:lpwstr>Racing Application forms</vt:lpwstr>
  </property>
  <property fmtid="{D5CDD505-2E9C-101B-9397-08002B2CF9AE}" pid="4" name="_AuthorEmail">
    <vt:lpwstr>julie.oliver@rgl.wa.gov.au</vt:lpwstr>
  </property>
  <property fmtid="{D5CDD505-2E9C-101B-9397-08002B2CF9AE}" pid="5" name="_AuthorEmailDisplayName">
    <vt:lpwstr>Julie Oliver</vt:lpwstr>
  </property>
  <property fmtid="{D5CDD505-2E9C-101B-9397-08002B2CF9AE}" pid="6" name="_ReviewingToolsShownOnce">
    <vt:lpwstr/>
  </property>
</Properties>
</file>